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C36AF6">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（20</w:t>
      </w:r>
      <w:r w:rsidR="00B14715">
        <w:rPr>
          <w:rFonts w:ascii="宋体" w:hAnsi="宋体" w:cs="宋体" w:hint="eastAsia"/>
          <w:kern w:val="0"/>
          <w:sz w:val="28"/>
          <w:szCs w:val="28"/>
          <w:lang w:val="zh-CN"/>
        </w:rPr>
        <w:t>21</w:t>
      </w:r>
      <w:r>
        <w:rPr>
          <w:rFonts w:ascii="宋体" w:hAnsi="宋体" w:cs="宋体" w:hint="eastAsia"/>
          <w:kern w:val="0"/>
          <w:sz w:val="28"/>
          <w:szCs w:val="28"/>
          <w:lang w:val="zh-CN"/>
        </w:rPr>
        <w:t>年第</w:t>
      </w:r>
      <w:r w:rsidR="00544D6D">
        <w:rPr>
          <w:rFonts w:ascii="宋体" w:hAnsi="宋体" w:cs="宋体" w:hint="eastAsia"/>
          <w:kern w:val="0"/>
          <w:sz w:val="28"/>
          <w:szCs w:val="28"/>
        </w:rPr>
        <w:t>4</w:t>
      </w:r>
      <w:r>
        <w:rPr>
          <w:rFonts w:ascii="宋体" w:hAnsi="宋体" w:cs="宋体" w:hint="eastAsia"/>
          <w:kern w:val="0"/>
          <w:sz w:val="28"/>
          <w:szCs w:val="28"/>
          <w:lang w:val="zh-CN"/>
        </w:rPr>
        <w:t>期）</w:t>
      </w:r>
    </w:p>
    <w:p w:rsidR="00DB5D6A" w:rsidRDefault="00C36AF6">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主办：信阳职院高职教育研究所      二</w:t>
      </w:r>
      <w:proofErr w:type="gramStart"/>
      <w:r>
        <w:rPr>
          <w:rFonts w:ascii="宋体" w:hAnsi="宋体" w:cs="宋体" w:hint="eastAsia"/>
          <w:kern w:val="0"/>
          <w:sz w:val="28"/>
          <w:szCs w:val="28"/>
          <w:lang w:val="zh-CN"/>
        </w:rPr>
        <w:t>0</w:t>
      </w:r>
      <w:r w:rsidR="0079423F">
        <w:rPr>
          <w:rFonts w:ascii="宋体" w:hAnsi="宋体" w:cs="宋体" w:hint="eastAsia"/>
          <w:kern w:val="0"/>
          <w:sz w:val="28"/>
          <w:szCs w:val="28"/>
          <w:lang w:val="zh-CN"/>
        </w:rPr>
        <w:t>二</w:t>
      </w:r>
      <w:r w:rsidR="00B14715">
        <w:rPr>
          <w:rFonts w:ascii="宋体" w:hAnsi="宋体" w:cs="宋体" w:hint="eastAsia"/>
          <w:kern w:val="0"/>
          <w:sz w:val="28"/>
          <w:szCs w:val="28"/>
          <w:lang w:val="zh-CN"/>
        </w:rPr>
        <w:t>一</w:t>
      </w:r>
      <w:proofErr w:type="gramEnd"/>
      <w:r>
        <w:rPr>
          <w:rFonts w:ascii="宋体" w:hAnsi="宋体" w:cs="宋体" w:hint="eastAsia"/>
          <w:kern w:val="0"/>
          <w:sz w:val="28"/>
          <w:szCs w:val="28"/>
          <w:lang w:val="zh-CN"/>
        </w:rPr>
        <w:t>年</w:t>
      </w:r>
      <w:r w:rsidR="00544D6D">
        <w:rPr>
          <w:rFonts w:ascii="宋体" w:hAnsi="宋体" w:cs="宋体" w:hint="eastAsia"/>
          <w:kern w:val="0"/>
          <w:sz w:val="28"/>
          <w:szCs w:val="28"/>
        </w:rPr>
        <w:t>四</w:t>
      </w:r>
      <w:r>
        <w:rPr>
          <w:rFonts w:ascii="宋体" w:hAnsi="宋体" w:cs="宋体" w:hint="eastAsia"/>
          <w:kern w:val="0"/>
          <w:sz w:val="28"/>
          <w:szCs w:val="28"/>
          <w:lang w:val="zh-CN"/>
        </w:rPr>
        <w:t>月</w:t>
      </w:r>
      <w:r w:rsidR="00544D6D">
        <w:rPr>
          <w:rFonts w:ascii="宋体" w:hAnsi="宋体" w:cs="宋体" w:hint="eastAsia"/>
          <w:kern w:val="0"/>
          <w:sz w:val="28"/>
          <w:szCs w:val="28"/>
          <w:lang w:val="zh-CN"/>
        </w:rPr>
        <w:t>二</w:t>
      </w:r>
      <w:r w:rsidR="00FA4F80">
        <w:rPr>
          <w:rFonts w:ascii="宋体" w:hAnsi="宋体" w:cs="宋体" w:hint="eastAsia"/>
          <w:kern w:val="0"/>
          <w:sz w:val="28"/>
          <w:szCs w:val="28"/>
          <w:lang w:val="zh-CN"/>
        </w:rPr>
        <w:t>十</w:t>
      </w:r>
      <w:r>
        <w:rPr>
          <w:rFonts w:ascii="宋体" w:hAnsi="宋体" w:cs="宋体" w:hint="eastAsia"/>
          <w:kern w:val="0"/>
          <w:sz w:val="28"/>
          <w:szCs w:val="28"/>
          <w:lang w:val="zh-CN"/>
        </w:rPr>
        <w:t>日</w:t>
      </w:r>
    </w:p>
    <w:p w:rsidR="00DB5D6A" w:rsidRDefault="00DB5D6A" w:rsidP="005B6D53">
      <w:pPr>
        <w:pStyle w:val="a3"/>
        <w:spacing w:line="360" w:lineRule="auto"/>
        <w:jc w:val="center"/>
        <w:rPr>
          <w:rFonts w:asciiTheme="minorEastAsia" w:hAnsiTheme="minorEastAsia" w:cstheme="minorEastAsia"/>
          <w:sz w:val="28"/>
          <w:szCs w:val="28"/>
        </w:rPr>
      </w:pPr>
    </w:p>
    <w:p w:rsidR="00544D6D" w:rsidRPr="00544D6D" w:rsidRDefault="00544D6D" w:rsidP="00544D6D">
      <w:pPr>
        <w:pStyle w:val="a3"/>
        <w:spacing w:line="360" w:lineRule="auto"/>
        <w:jc w:val="center"/>
        <w:rPr>
          <w:rFonts w:asciiTheme="minorEastAsia" w:hAnsiTheme="minorEastAsia" w:cstheme="minorEastAsia" w:hint="eastAsia"/>
          <w:b/>
          <w:bCs/>
          <w:sz w:val="32"/>
          <w:szCs w:val="32"/>
        </w:rPr>
      </w:pPr>
      <w:r w:rsidRPr="00544D6D">
        <w:rPr>
          <w:rFonts w:asciiTheme="minorEastAsia" w:hAnsiTheme="minorEastAsia" w:cstheme="minorEastAsia" w:hint="eastAsia"/>
          <w:b/>
          <w:bCs/>
          <w:sz w:val="32"/>
          <w:szCs w:val="32"/>
        </w:rPr>
        <w:t>布局“十四五” 推进专业升级</w:t>
      </w:r>
    </w:p>
    <w:p w:rsidR="00FA4F80" w:rsidRPr="00544D6D" w:rsidRDefault="00544D6D" w:rsidP="00544D6D">
      <w:pPr>
        <w:pStyle w:val="a3"/>
        <w:spacing w:line="360" w:lineRule="auto"/>
        <w:jc w:val="center"/>
        <w:rPr>
          <w:rFonts w:asciiTheme="minorEastAsia" w:hAnsiTheme="minorEastAsia" w:cstheme="minorEastAsia" w:hint="eastAsia"/>
          <w:sz w:val="28"/>
          <w:szCs w:val="28"/>
        </w:rPr>
      </w:pPr>
      <w:r w:rsidRPr="00544D6D">
        <w:rPr>
          <w:rFonts w:asciiTheme="minorEastAsia" w:hAnsiTheme="minorEastAsia" w:cstheme="minorEastAsia" w:hint="eastAsia"/>
          <w:bCs/>
          <w:sz w:val="32"/>
          <w:szCs w:val="32"/>
        </w:rPr>
        <w:t>——《职业教育专业目录（2021年）》解读</w:t>
      </w:r>
    </w:p>
    <w:p w:rsidR="00544D6D" w:rsidRDefault="00544D6D" w:rsidP="004C0BAB">
      <w:pPr>
        <w:pStyle w:val="a3"/>
        <w:spacing w:line="360" w:lineRule="auto"/>
        <w:jc w:val="center"/>
        <w:rPr>
          <w:rFonts w:asciiTheme="minorEastAsia" w:hAnsiTheme="minorEastAsia" w:cstheme="minorEastAsia" w:hint="eastAsia"/>
          <w:sz w:val="28"/>
          <w:szCs w:val="28"/>
        </w:rPr>
      </w:pPr>
    </w:p>
    <w:p w:rsidR="00B33AF0" w:rsidRDefault="00EF17A2" w:rsidP="00B33AF0">
      <w:pPr>
        <w:pStyle w:val="a3"/>
        <w:spacing w:line="360" w:lineRule="auto"/>
        <w:ind w:firstLineChars="200" w:firstLine="560"/>
        <w:jc w:val="left"/>
        <w:rPr>
          <w:rFonts w:asciiTheme="minorEastAsia" w:hAnsiTheme="minorEastAsia" w:cstheme="minorEastAsia" w:hint="eastAsia"/>
          <w:sz w:val="28"/>
          <w:szCs w:val="28"/>
        </w:rPr>
      </w:pPr>
      <w:r w:rsidRPr="00EF17A2">
        <w:rPr>
          <w:rFonts w:asciiTheme="minorEastAsia" w:hAnsiTheme="minorEastAsia" w:cstheme="minorEastAsia" w:hint="eastAsia"/>
          <w:sz w:val="28"/>
          <w:szCs w:val="28"/>
        </w:rPr>
        <w:t>撤销中职学前教育专业、人口与计划生育专业类，增设集成电路类、安全防范类等专业类……近日，教育部印发新版《职业教育专业目录（2021年）》（以下简称新版《目录》），对职业教育专业目录做了全面修（制）订。</w:t>
      </w:r>
    </w:p>
    <w:p w:rsidR="00B33AF0" w:rsidRDefault="00EF17A2" w:rsidP="00B33AF0">
      <w:pPr>
        <w:pStyle w:val="a3"/>
        <w:spacing w:line="360" w:lineRule="auto"/>
        <w:ind w:firstLineChars="200" w:firstLine="560"/>
        <w:jc w:val="left"/>
        <w:rPr>
          <w:rFonts w:asciiTheme="minorEastAsia" w:hAnsiTheme="minorEastAsia" w:cstheme="minorEastAsia" w:hint="eastAsia"/>
          <w:sz w:val="28"/>
          <w:szCs w:val="28"/>
        </w:rPr>
      </w:pPr>
      <w:r w:rsidRPr="00EF17A2">
        <w:rPr>
          <w:rFonts w:asciiTheme="minorEastAsia" w:hAnsiTheme="minorEastAsia" w:cstheme="minorEastAsia" w:hint="eastAsia"/>
          <w:sz w:val="28"/>
          <w:szCs w:val="28"/>
        </w:rPr>
        <w:t>多位专家表示，新版《目录》契合了“十四五”规划和2035年远景目标的战略部署，充分体现了专业升级和数字化改造理念，形成了定位清晰、纵向贯通、横向融通的一体化专业目录体系，为提高职业教育适应性、服务技能型社会建设和终身学习需求奠定了新基础、树立了新坐标。</w:t>
      </w:r>
    </w:p>
    <w:p w:rsidR="00B33AF0" w:rsidRDefault="00EF17A2" w:rsidP="00B33AF0">
      <w:pPr>
        <w:pStyle w:val="a3"/>
        <w:spacing w:line="360" w:lineRule="auto"/>
        <w:ind w:firstLineChars="200" w:firstLine="562"/>
        <w:jc w:val="left"/>
        <w:rPr>
          <w:rFonts w:asciiTheme="minorEastAsia" w:hAnsiTheme="minorEastAsia" w:cstheme="minorEastAsia" w:hint="eastAsia"/>
          <w:b/>
          <w:sz w:val="28"/>
          <w:szCs w:val="28"/>
        </w:rPr>
      </w:pPr>
      <w:r w:rsidRPr="00B33AF0">
        <w:rPr>
          <w:rFonts w:asciiTheme="minorEastAsia" w:hAnsiTheme="minorEastAsia" w:cstheme="minorEastAsia" w:hint="eastAsia"/>
          <w:b/>
          <w:sz w:val="28"/>
          <w:szCs w:val="28"/>
        </w:rPr>
        <w:lastRenderedPageBreak/>
        <w:t>前瞻性布局，聚焦专业升级和数字化改造</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《国家职业教育改革实施方案》即“职教20条”要求专业目录五年</w:t>
      </w:r>
      <w:proofErr w:type="gramStart"/>
      <w:r w:rsidRPr="00EF17A2">
        <w:rPr>
          <w:rFonts w:asciiTheme="minorEastAsia" w:hAnsiTheme="minorEastAsia" w:cstheme="minorEastAsia" w:hint="eastAsia"/>
          <w:sz w:val="28"/>
          <w:szCs w:val="28"/>
        </w:rPr>
        <w:t>一</w:t>
      </w:r>
      <w:proofErr w:type="gramEnd"/>
      <w:r w:rsidRPr="00EF17A2">
        <w:rPr>
          <w:rFonts w:asciiTheme="minorEastAsia" w:hAnsiTheme="minorEastAsia" w:cstheme="minorEastAsia" w:hint="eastAsia"/>
          <w:sz w:val="28"/>
          <w:szCs w:val="28"/>
        </w:rPr>
        <w:t>大修、每年动态更新。此前，中</w:t>
      </w:r>
      <w:proofErr w:type="gramStart"/>
      <w:r w:rsidRPr="00EF17A2">
        <w:rPr>
          <w:rFonts w:asciiTheme="minorEastAsia" w:hAnsiTheme="minorEastAsia" w:cstheme="minorEastAsia" w:hint="eastAsia"/>
          <w:sz w:val="28"/>
          <w:szCs w:val="28"/>
        </w:rPr>
        <w:t>职专业</w:t>
      </w:r>
      <w:proofErr w:type="gramEnd"/>
      <w:r w:rsidRPr="00EF17A2">
        <w:rPr>
          <w:rFonts w:asciiTheme="minorEastAsia" w:hAnsiTheme="minorEastAsia" w:cstheme="minorEastAsia" w:hint="eastAsia"/>
          <w:sz w:val="28"/>
          <w:szCs w:val="28"/>
        </w:rPr>
        <w:t>目录是2010年修订的，高职专科专业目录是2015年修订的，高职本科试点专业是根据试点需要于2019、2020年分别设置的。据此，2020年是对目录进行大修的时间节点。</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此前的目录在引导院校专业设置和人才培养方面发挥了重要基础性作用，同时随着形势发展也存在与经济社会发展不相适应的地方。”教育部职成司负责人说，随着我国进入新发展阶段，实现职业教育高质量发展，迫切需要主动对接“十四五”规划并面向2035年进行前瞻性布局，以系统思维推进专业升级与数字化改造。</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“专业升级和数字化改造，是职业教育‘一盘大棋’中的关键落子，具有重要里程碑意义。”中国职业技术教育学会会长、教育部原副部长、新版《目录》研制总顾问鲁昕说。</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鲁昕认为，职业教育所有改革只有落在专业上，才能落在课堂上，才能落在学生的综合素质和综合能力上。当前，以数字经济等为代表的新经济成为重要增长引擎，新一代信息技术集成创新，对人才的素质结构、能力结构、技能结构提出全新要求，职业教育专业升级和数字化改造势在必行。新版《目录》研制以专业升级和数字化改造为关键，体现了“十个对接”特征，即专业对接新技术岗位、对接新职业岗位、对接新业态岗位、对接市场化需求、对接“卡脖子”难题、对接智能化生产、对接智慧化管理、对接精准化服务、对接数据化应用、</w:t>
      </w:r>
      <w:r w:rsidRPr="00EF17A2">
        <w:rPr>
          <w:rFonts w:asciiTheme="minorEastAsia" w:hAnsiTheme="minorEastAsia" w:cstheme="minorEastAsia" w:hint="eastAsia"/>
          <w:sz w:val="28"/>
          <w:szCs w:val="28"/>
        </w:rPr>
        <w:lastRenderedPageBreak/>
        <w:t>对接数字化技能，新版《目录》的相关成果实现了一体化设计、一体化表述、一体化呈现，在专业名称、专业内涵、课程体系、核心基础课程等4个方面全面升级，有利于推动中高本一体化、高质量发展。</w:t>
      </w:r>
    </w:p>
    <w:p w:rsidR="00B33AF0" w:rsidRDefault="00EF17A2" w:rsidP="00B33AF0">
      <w:pPr>
        <w:pStyle w:val="a3"/>
        <w:spacing w:line="360" w:lineRule="auto"/>
        <w:ind w:firstLineChars="200" w:firstLine="562"/>
        <w:jc w:val="left"/>
        <w:rPr>
          <w:rFonts w:asciiTheme="minorEastAsia" w:hAnsiTheme="minorEastAsia" w:cstheme="minorEastAsia" w:hint="eastAsia"/>
          <w:b/>
          <w:sz w:val="28"/>
          <w:szCs w:val="28"/>
        </w:rPr>
      </w:pPr>
      <w:r w:rsidRPr="00B33AF0">
        <w:rPr>
          <w:rFonts w:asciiTheme="minorEastAsia" w:hAnsiTheme="minorEastAsia" w:cstheme="minorEastAsia" w:hint="eastAsia"/>
          <w:b/>
          <w:sz w:val="28"/>
          <w:szCs w:val="28"/>
        </w:rPr>
        <w:t>服务发展促就业，落实教育供给</w:t>
      </w:r>
      <w:proofErr w:type="gramStart"/>
      <w:r w:rsidRPr="00B33AF0">
        <w:rPr>
          <w:rFonts w:asciiTheme="minorEastAsia" w:hAnsiTheme="minorEastAsia" w:cstheme="minorEastAsia" w:hint="eastAsia"/>
          <w:b/>
          <w:sz w:val="28"/>
          <w:szCs w:val="28"/>
        </w:rPr>
        <w:t>侧改革</w:t>
      </w:r>
      <w:proofErr w:type="gramEnd"/>
      <w:r w:rsidRPr="00B33AF0">
        <w:rPr>
          <w:rFonts w:asciiTheme="minorEastAsia" w:hAnsiTheme="minorEastAsia" w:cstheme="minorEastAsia" w:hint="eastAsia"/>
          <w:b/>
          <w:sz w:val="28"/>
          <w:szCs w:val="28"/>
        </w:rPr>
        <w:t>新要求</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教育部职成司负责人介绍，新版《目录》坚持服务发展、促进就业的导向，全面体现职业教育专业升级与数字化改造理念，落实教育供给侧结构性改革新要求。</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之前的职业教育专业目录是分别编制的，新版《目录》对中职、高职专科、高职本科进行了一体化设计，体现融通贯通理念。该负责人介绍，职业教育中、高、本各层次之间，同类专业之间纵向贯通、横向融通。面向职业岗位群逐层提升，培养目标和规格逐层递进，人才定位有机衔接。</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在对接现代产业体系，提升人才供给质量方面，新版《目录》对接“十四五”时期新形势，重点服务制造业强国建设、破解“卡脖子”关键技术等，面向战略性新兴产业重点领域，面向生产性服务业向专业化和价值链高端延伸，面向生活性服务业向高品质和多样化升级等，系统梳理新职业场景、新职业岗位对技术技能人才新需求，以目录为引领推进职业教育供给侧结构性改革。</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在推进数字化升级改造，构建未来技术技能方面，新版《目录》优化和加强5G、人工智能、大数据、云计算、物联网等领域相关专业设置。适应数字化转型、产业基础高级化趋势，面向不同行业的数据驱动、人机协同、跨界融合、共创分享的智能形态等，从专业名称</w:t>
      </w:r>
      <w:r w:rsidRPr="00EF17A2">
        <w:rPr>
          <w:rFonts w:asciiTheme="minorEastAsia" w:hAnsiTheme="minorEastAsia" w:cstheme="minorEastAsia" w:hint="eastAsia"/>
          <w:sz w:val="28"/>
          <w:szCs w:val="28"/>
        </w:rPr>
        <w:lastRenderedPageBreak/>
        <w:t>到内涵全面进行数字化改造。</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此外，新版《目录》遵循职业教育规律，服务终身学习需求。兼顾不同职业院校、不同工作岗位对专业口径宽窄的不同需求，兼顾系统培养学生和学生终身学习、全面发展需要。充分考虑中高职贯通培养、高职扩招、面向社会承接培训、军民融合发展等需求。</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这是教育部历史上首次将职教体系的中职、高职专科和高职本科专业对照设置，标志着我国职教类型中的层次体系已经形成，表明各层次人才培养的标准一致、接口规范，而且覆盖面大，特别是一些关系城市、乡村、民生、环境、绿色、低碳和健康等行业的岗位，此前在学科专业体系中较少关注和涵盖，现在</w:t>
      </w:r>
      <w:proofErr w:type="gramStart"/>
      <w:r w:rsidRPr="00EF17A2">
        <w:rPr>
          <w:rFonts w:asciiTheme="minorEastAsia" w:hAnsiTheme="minorEastAsia" w:cstheme="minorEastAsia" w:hint="eastAsia"/>
          <w:sz w:val="28"/>
          <w:szCs w:val="28"/>
        </w:rPr>
        <w:t>在</w:t>
      </w:r>
      <w:proofErr w:type="gramEnd"/>
      <w:r w:rsidRPr="00EF17A2">
        <w:rPr>
          <w:rFonts w:asciiTheme="minorEastAsia" w:hAnsiTheme="minorEastAsia" w:cstheme="minorEastAsia" w:hint="eastAsia"/>
          <w:sz w:val="28"/>
          <w:szCs w:val="28"/>
        </w:rPr>
        <w:t>新版职教专业目录中都能找到，应收尽收、灵活设置。”中国产业发展研究院常务副院长鲍泓认为，新版《目录》必将有利于提高人才培养质量的符合度和精准度。</w:t>
      </w:r>
    </w:p>
    <w:p w:rsidR="00B33AF0" w:rsidRDefault="00EF17A2" w:rsidP="00B33AF0">
      <w:pPr>
        <w:pStyle w:val="a3"/>
        <w:spacing w:line="360" w:lineRule="auto"/>
        <w:ind w:firstLineChars="200" w:firstLine="562"/>
        <w:jc w:val="left"/>
        <w:rPr>
          <w:rFonts w:asciiTheme="minorEastAsia" w:hAnsiTheme="minorEastAsia" w:cstheme="minorEastAsia" w:hint="eastAsia"/>
          <w:b/>
          <w:sz w:val="28"/>
          <w:szCs w:val="28"/>
        </w:rPr>
      </w:pPr>
      <w:r w:rsidRPr="00B33AF0">
        <w:rPr>
          <w:rFonts w:asciiTheme="minorEastAsia" w:hAnsiTheme="minorEastAsia" w:cstheme="minorEastAsia" w:hint="eastAsia"/>
          <w:b/>
          <w:sz w:val="28"/>
          <w:szCs w:val="28"/>
        </w:rPr>
        <w:t>指导专业设置，体现管理弹性和灵活性</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此次新版《目录》修订工作于2020年正式启动，历时10个月，首次凝聚两院院士、知名专家解读产业趋势、前沿技术，提供咨询指导，成立顾问组、工作组、综合组、研制组，行指委、“双高计划”建设单位等行业企业、院校代表等800余人深度参与。</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职业教育既要保持专业目录的规范性和稳定性，又要鼓励支持职业院校根据经济社会发展需求探索设置新专业，体现管理弹性和灵活性。”教育部职成司负责人表示，后续将加强对专业设置和建设的指导以及宏观管理。</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lastRenderedPageBreak/>
        <w:t>该负责人表示，教育部鼓励职业院校灵活自主设置专业，进一步落实好《中等职业学校专业设置管理办法（试行）》中“开设《目录》外专业，须经省级教育行政部门备案后试办，按国家有关规定进行管理”的规定，并进一步规范备案程序，明确具体要求。高等职业学校依照相关规定要求自主设置和调整高职专业，自主论证设置专业方向。</w:t>
      </w:r>
    </w:p>
    <w:p w:rsid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r w:rsidRPr="00EF17A2">
        <w:rPr>
          <w:rFonts w:asciiTheme="minorEastAsia" w:hAnsiTheme="minorEastAsia" w:cstheme="minorEastAsia" w:hint="eastAsia"/>
          <w:sz w:val="28"/>
          <w:szCs w:val="28"/>
        </w:rPr>
        <w:t>此次新版《目录》围绕有关领域对高层次技术技能人才需求，聚焦确需长学制培养的相关专业，论证设置了247个高职本科专业。</w:t>
      </w:r>
    </w:p>
    <w:p w:rsidR="00EF17A2" w:rsidRPr="00B33AF0" w:rsidRDefault="00EF17A2" w:rsidP="00B33AF0">
      <w:pPr>
        <w:pStyle w:val="a3"/>
        <w:spacing w:line="360" w:lineRule="auto"/>
        <w:ind w:firstLineChars="200" w:firstLine="560"/>
        <w:jc w:val="left"/>
        <w:rPr>
          <w:rFonts w:asciiTheme="minorEastAsia" w:hAnsiTheme="minorEastAsia" w:cstheme="minorEastAsia" w:hint="eastAsia"/>
          <w:b/>
          <w:sz w:val="28"/>
          <w:szCs w:val="28"/>
        </w:rPr>
      </w:pPr>
      <w:bookmarkStart w:id="0" w:name="_GoBack"/>
      <w:bookmarkEnd w:id="0"/>
      <w:r w:rsidRPr="00EF17A2">
        <w:rPr>
          <w:rFonts w:asciiTheme="minorEastAsia" w:hAnsiTheme="minorEastAsia" w:cstheme="minorEastAsia" w:hint="eastAsia"/>
          <w:sz w:val="28"/>
          <w:szCs w:val="28"/>
        </w:rPr>
        <w:t>“高职本科专业设置要严格执行《本科层次职业教育专业设置管理办法（试行）》规定，稳妥做好高职本科专业设置和管理，避免‘一哄而上’。”该负责人表示，教育部有关司局正在组织研究高职本科专业授予学士学位的具体政策，并将按程序发布。（记者 欧媚）</w:t>
      </w:r>
    </w:p>
    <w:p w:rsidR="006D384C" w:rsidRPr="001815D6" w:rsidRDefault="00C36AF6" w:rsidP="00EF17A2">
      <w:pPr>
        <w:pStyle w:val="a3"/>
        <w:spacing w:line="360" w:lineRule="auto"/>
        <w:ind w:firstLineChars="200" w:firstLine="560"/>
        <w:jc w:val="left"/>
        <w:rPr>
          <w:rFonts w:hAnsi="宋体" w:cs="宋体"/>
          <w:sz w:val="28"/>
          <w:szCs w:val="28"/>
        </w:rPr>
      </w:pPr>
      <w:r w:rsidRPr="00F31B6B">
        <w:rPr>
          <w:rFonts w:hAnsi="宋体" w:cs="宋体" w:hint="eastAsia"/>
          <w:sz w:val="28"/>
          <w:szCs w:val="28"/>
        </w:rPr>
        <w:t>发布时间：</w:t>
      </w:r>
      <w:r w:rsidR="00B401DE" w:rsidRPr="00B401DE">
        <w:rPr>
          <w:rFonts w:hAnsi="宋体" w:cs="宋体" w:hint="eastAsia"/>
          <w:sz w:val="28"/>
          <w:szCs w:val="28"/>
        </w:rPr>
        <w:t>202</w:t>
      </w:r>
      <w:r w:rsidR="000B24EC">
        <w:rPr>
          <w:rFonts w:hAnsi="宋体" w:cs="宋体" w:hint="eastAsia"/>
          <w:sz w:val="28"/>
          <w:szCs w:val="28"/>
        </w:rPr>
        <w:t>1</w:t>
      </w:r>
      <w:r w:rsidR="00B401DE" w:rsidRPr="00B401DE">
        <w:rPr>
          <w:rFonts w:hAnsi="宋体" w:cs="宋体" w:hint="eastAsia"/>
          <w:sz w:val="28"/>
          <w:szCs w:val="28"/>
        </w:rPr>
        <w:t>年</w:t>
      </w:r>
      <w:r w:rsidR="000B24EC">
        <w:rPr>
          <w:rFonts w:hAnsi="宋体" w:cs="宋体" w:hint="eastAsia"/>
          <w:sz w:val="28"/>
          <w:szCs w:val="28"/>
        </w:rPr>
        <w:t>3</w:t>
      </w:r>
      <w:r w:rsidR="00B401DE" w:rsidRPr="00B401DE">
        <w:rPr>
          <w:rFonts w:hAnsi="宋体" w:cs="宋体" w:hint="eastAsia"/>
          <w:sz w:val="28"/>
          <w:szCs w:val="28"/>
        </w:rPr>
        <w:t>月</w:t>
      </w:r>
      <w:r w:rsidR="000B24EC">
        <w:rPr>
          <w:rFonts w:hAnsi="宋体" w:cs="宋体" w:hint="eastAsia"/>
          <w:sz w:val="28"/>
          <w:szCs w:val="28"/>
        </w:rPr>
        <w:t>2</w:t>
      </w:r>
      <w:r w:rsidR="006D384C">
        <w:rPr>
          <w:rFonts w:hAnsi="宋体" w:cs="宋体" w:hint="eastAsia"/>
          <w:sz w:val="28"/>
          <w:szCs w:val="28"/>
        </w:rPr>
        <w:t>3</w:t>
      </w:r>
      <w:r w:rsidR="00B401DE" w:rsidRPr="00B401DE">
        <w:rPr>
          <w:rFonts w:hAnsi="宋体" w:cs="宋体" w:hint="eastAsia"/>
          <w:sz w:val="28"/>
          <w:szCs w:val="28"/>
        </w:rPr>
        <w:t>日</w:t>
      </w:r>
      <w:r w:rsidR="002273BB">
        <w:rPr>
          <w:rFonts w:hAnsi="宋体" w:cs="宋体" w:hint="eastAsia"/>
          <w:sz w:val="28"/>
          <w:szCs w:val="28"/>
        </w:rPr>
        <w:t xml:space="preserve">　</w:t>
      </w:r>
      <w:r w:rsidRPr="00F31B6B">
        <w:rPr>
          <w:rFonts w:hAnsi="宋体" w:cs="宋体" w:hint="eastAsia"/>
          <w:sz w:val="28"/>
          <w:szCs w:val="28"/>
        </w:rPr>
        <w:t>信息来源：</w:t>
      </w:r>
      <w:r w:rsidR="004C0BAB" w:rsidRPr="004C0BAB">
        <w:rPr>
          <w:rFonts w:hAnsi="宋体" w:cs="宋体" w:hint="eastAsia"/>
          <w:sz w:val="28"/>
          <w:szCs w:val="28"/>
        </w:rPr>
        <w:t>《</w:t>
      </w:r>
      <w:r w:rsidR="006D384C" w:rsidRPr="006D384C">
        <w:rPr>
          <w:rFonts w:hAnsi="宋体" w:cs="宋体" w:hint="eastAsia"/>
          <w:sz w:val="28"/>
          <w:szCs w:val="28"/>
        </w:rPr>
        <w:t>中国教育报</w:t>
      </w:r>
      <w:r w:rsidR="004C0BAB" w:rsidRPr="004C0BAB">
        <w:rPr>
          <w:rFonts w:hAnsi="宋体" w:cs="宋体" w:hint="eastAsia"/>
          <w:sz w:val="28"/>
          <w:szCs w:val="28"/>
        </w:rPr>
        <w:t>》</w:t>
      </w:r>
    </w:p>
    <w:sectPr w:rsidR="006D384C" w:rsidRPr="001815D6" w:rsidSect="00E3269A">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9A" w:rsidRDefault="00C36AF6">
      <w:r>
        <w:separator/>
      </w:r>
    </w:p>
  </w:endnote>
  <w:endnote w:type="continuationSeparator" w:id="0">
    <w:p w:rsidR="00E3269A" w:rsidRDefault="00C3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6A" w:rsidRDefault="00E3269A">
    <w:pPr>
      <w:pStyle w:val="a4"/>
      <w:framePr w:wrap="around" w:vAnchor="text" w:hAnchor="margin" w:xAlign="center" w:y="1"/>
      <w:rPr>
        <w:rStyle w:val="a8"/>
      </w:rPr>
    </w:pPr>
    <w:r>
      <w:rPr>
        <w:rStyle w:val="a8"/>
      </w:rPr>
      <w:fldChar w:fldCharType="begin"/>
    </w:r>
    <w:r w:rsidR="00C36AF6">
      <w:rPr>
        <w:rStyle w:val="a8"/>
      </w:rPr>
      <w:instrText xml:space="preserve">PAGE  </w:instrText>
    </w:r>
    <w:r>
      <w:rPr>
        <w:rStyle w:val="a8"/>
      </w:rPr>
      <w:fldChar w:fldCharType="end"/>
    </w:r>
  </w:p>
  <w:p w:rsidR="00DB5D6A" w:rsidRDefault="00DB5D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6A" w:rsidRDefault="00E3269A">
    <w:pPr>
      <w:pStyle w:val="a4"/>
      <w:framePr w:wrap="around" w:vAnchor="text" w:hAnchor="margin" w:xAlign="center" w:y="1"/>
      <w:rPr>
        <w:rStyle w:val="a8"/>
      </w:rPr>
    </w:pPr>
    <w:r>
      <w:rPr>
        <w:rStyle w:val="a8"/>
      </w:rPr>
      <w:fldChar w:fldCharType="begin"/>
    </w:r>
    <w:r w:rsidR="00C36AF6">
      <w:rPr>
        <w:rStyle w:val="a8"/>
      </w:rPr>
      <w:instrText xml:space="preserve">PAGE  </w:instrText>
    </w:r>
    <w:r>
      <w:rPr>
        <w:rStyle w:val="a8"/>
      </w:rPr>
      <w:fldChar w:fldCharType="separate"/>
    </w:r>
    <w:r w:rsidR="00B33AF0">
      <w:rPr>
        <w:rStyle w:val="a8"/>
        <w:noProof/>
      </w:rPr>
      <w:t>5</w:t>
    </w:r>
    <w:r>
      <w:rPr>
        <w:rStyle w:val="a8"/>
      </w:rPr>
      <w:fldChar w:fldCharType="end"/>
    </w:r>
  </w:p>
  <w:p w:rsidR="00DB5D6A" w:rsidRDefault="00DB5D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9A" w:rsidRDefault="00C36AF6">
      <w:r>
        <w:separator/>
      </w:r>
    </w:p>
  </w:footnote>
  <w:footnote w:type="continuationSeparator" w:id="0">
    <w:p w:rsidR="00E3269A" w:rsidRDefault="00C3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6A" w:rsidRDefault="00DB5D6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A7B14"/>
    <w:rsid w:val="00012678"/>
    <w:rsid w:val="0006117A"/>
    <w:rsid w:val="000B24EC"/>
    <w:rsid w:val="000C476D"/>
    <w:rsid w:val="000D638A"/>
    <w:rsid w:val="000E4FE4"/>
    <w:rsid w:val="001666DB"/>
    <w:rsid w:val="001815D6"/>
    <w:rsid w:val="001B749D"/>
    <w:rsid w:val="001B7F4A"/>
    <w:rsid w:val="001D2DD1"/>
    <w:rsid w:val="001E291E"/>
    <w:rsid w:val="002273BB"/>
    <w:rsid w:val="00234411"/>
    <w:rsid w:val="00270AFB"/>
    <w:rsid w:val="002C319B"/>
    <w:rsid w:val="002D3C1C"/>
    <w:rsid w:val="002F12E7"/>
    <w:rsid w:val="002F21CA"/>
    <w:rsid w:val="002F5E37"/>
    <w:rsid w:val="00322BF9"/>
    <w:rsid w:val="003B5E18"/>
    <w:rsid w:val="003B6B84"/>
    <w:rsid w:val="00400D20"/>
    <w:rsid w:val="004600D6"/>
    <w:rsid w:val="004658DF"/>
    <w:rsid w:val="004B7128"/>
    <w:rsid w:val="004C0BAB"/>
    <w:rsid w:val="004C188D"/>
    <w:rsid w:val="004C196C"/>
    <w:rsid w:val="004D0300"/>
    <w:rsid w:val="004E2453"/>
    <w:rsid w:val="004E777F"/>
    <w:rsid w:val="00520122"/>
    <w:rsid w:val="00535F49"/>
    <w:rsid w:val="00544D6D"/>
    <w:rsid w:val="00555758"/>
    <w:rsid w:val="005720E3"/>
    <w:rsid w:val="00572A98"/>
    <w:rsid w:val="00591DE0"/>
    <w:rsid w:val="005B6D53"/>
    <w:rsid w:val="00607149"/>
    <w:rsid w:val="00615A57"/>
    <w:rsid w:val="0063721D"/>
    <w:rsid w:val="00640A60"/>
    <w:rsid w:val="00641B5B"/>
    <w:rsid w:val="00673694"/>
    <w:rsid w:val="00680B5E"/>
    <w:rsid w:val="00694E54"/>
    <w:rsid w:val="006A1F9C"/>
    <w:rsid w:val="006C16A4"/>
    <w:rsid w:val="006C7CB2"/>
    <w:rsid w:val="006D384C"/>
    <w:rsid w:val="006D768F"/>
    <w:rsid w:val="006F55EF"/>
    <w:rsid w:val="00725673"/>
    <w:rsid w:val="00754929"/>
    <w:rsid w:val="00763653"/>
    <w:rsid w:val="007845B0"/>
    <w:rsid w:val="0079423F"/>
    <w:rsid w:val="007B1BD0"/>
    <w:rsid w:val="007F3F9A"/>
    <w:rsid w:val="00815137"/>
    <w:rsid w:val="00835737"/>
    <w:rsid w:val="00853C9A"/>
    <w:rsid w:val="00861A64"/>
    <w:rsid w:val="00877480"/>
    <w:rsid w:val="00877DE1"/>
    <w:rsid w:val="00880490"/>
    <w:rsid w:val="008F4032"/>
    <w:rsid w:val="00942192"/>
    <w:rsid w:val="009551AD"/>
    <w:rsid w:val="00984358"/>
    <w:rsid w:val="00993802"/>
    <w:rsid w:val="009E403B"/>
    <w:rsid w:val="009F7427"/>
    <w:rsid w:val="00A27AB2"/>
    <w:rsid w:val="00A46DFC"/>
    <w:rsid w:val="00A53767"/>
    <w:rsid w:val="00A55ADD"/>
    <w:rsid w:val="00A6332D"/>
    <w:rsid w:val="00AB310C"/>
    <w:rsid w:val="00AE25A1"/>
    <w:rsid w:val="00B14572"/>
    <w:rsid w:val="00B14715"/>
    <w:rsid w:val="00B17707"/>
    <w:rsid w:val="00B33AF0"/>
    <w:rsid w:val="00B34732"/>
    <w:rsid w:val="00B401DE"/>
    <w:rsid w:val="00B407A4"/>
    <w:rsid w:val="00B857C2"/>
    <w:rsid w:val="00BA3B74"/>
    <w:rsid w:val="00BC1D49"/>
    <w:rsid w:val="00BE5B7C"/>
    <w:rsid w:val="00BF2C1A"/>
    <w:rsid w:val="00C12AD5"/>
    <w:rsid w:val="00C32DE1"/>
    <w:rsid w:val="00C36AF6"/>
    <w:rsid w:val="00C46A56"/>
    <w:rsid w:val="00C47848"/>
    <w:rsid w:val="00D07CAC"/>
    <w:rsid w:val="00D25296"/>
    <w:rsid w:val="00D26DB2"/>
    <w:rsid w:val="00D344A9"/>
    <w:rsid w:val="00D37EFA"/>
    <w:rsid w:val="00D57E64"/>
    <w:rsid w:val="00D975AD"/>
    <w:rsid w:val="00DA56DE"/>
    <w:rsid w:val="00DB5D6A"/>
    <w:rsid w:val="00E065FC"/>
    <w:rsid w:val="00E176CB"/>
    <w:rsid w:val="00E3269A"/>
    <w:rsid w:val="00E41AB8"/>
    <w:rsid w:val="00EB6F5D"/>
    <w:rsid w:val="00ED3199"/>
    <w:rsid w:val="00EF102A"/>
    <w:rsid w:val="00EF17A2"/>
    <w:rsid w:val="00EF4272"/>
    <w:rsid w:val="00F31B6B"/>
    <w:rsid w:val="00F473FA"/>
    <w:rsid w:val="00FA4F80"/>
    <w:rsid w:val="00FA5359"/>
    <w:rsid w:val="00FB0F3E"/>
    <w:rsid w:val="00FF3299"/>
    <w:rsid w:val="45A64B1B"/>
    <w:rsid w:val="50BD7993"/>
    <w:rsid w:val="723A7B14"/>
    <w:rsid w:val="7BE60972"/>
    <w:rsid w:val="7FE3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rsid w:val="006D76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rsid w:val="006D7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1B9C8-5F81-40B2-924A-C14E7F64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2368</Words>
  <Characters>89</Characters>
  <Application>Microsoft Office Word</Application>
  <DocSecurity>0</DocSecurity>
  <Lines>1</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cp:revision>
  <dcterms:created xsi:type="dcterms:W3CDTF">2021-04-21T01:10:00Z</dcterms:created>
  <dcterms:modified xsi:type="dcterms:W3CDTF">2021-04-21T01:16:00Z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